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6-K</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 the month of September 2026</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Commission File Number: 001-39829</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_________________</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COGNYTE SOFTWARE LTD.</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 xml:space="preserve">(Translation of registrant's name into English) </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33 Maskit</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Herzliya Pituach</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4673333, Israel</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(Address of principal executive office)</w:t>
      </w:r>
    </w:p>
    <w:p>
      <w:pPr>
        <w:pStyle w:val="TextBody"/>
        <w:bidi w:val="0"/>
        <w:spacing w:lineRule="auto" w:line="417" w:before="0" w:after="0"/>
        <w:jc w:val="center"/>
        <w:rPr/>
      </w:pPr>
      <w:r>
        <w:rPr>
          <w:rFonts w:ascii="Times New Roman;serif" w:hAnsi="Times New Roman;serif"/>
          <w:b w:val="false"/>
          <w:color w:val="000000"/>
          <w:sz w:val="20"/>
        </w:rPr>
        <w:t>Indicate</w:t>
      </w:r>
      <w:r>
        <w:rPr>
          <w:color w:val="000000"/>
        </w:rPr>
        <w:t xml:space="preserve"> </w:t>
      </w:r>
      <w:r>
        <w:rPr>
          <w:rFonts w:ascii="Times New Roman;serif" w:hAnsi="Times New Roman;serif"/>
          <w:b w:val="false"/>
          <w:color w:val="000000"/>
          <w:sz w:val="24"/>
        </w:rPr>
        <w:t>by check mark whether the registrant files or will file annual reports under cover of Form 20-F or Form 40-</w:t>
      </w:r>
      <w:r>
        <w:rPr>
          <w:rFonts w:ascii="Times New Roman;serif" w:hAnsi="Times New Roman;serif"/>
          <w:b w:val="false"/>
          <w:color w:val="000000"/>
          <w:sz w:val="20"/>
        </w:rPr>
        <w:t>F:</w:t>
      </w:r>
    </w:p>
    <w:p>
      <w:pPr>
        <w:pStyle w:val="TextBody"/>
        <w:bidi w:val="0"/>
        <w:spacing w:lineRule="auto" w:line="417" w:before="0" w:after="0"/>
        <w:jc w:val="center"/>
        <w:rPr/>
      </w:pPr>
      <w:r>
        <w:rPr>
          <w:rFonts w:ascii="Times New Roman;serif" w:hAnsi="Times New Roman;serif"/>
          <w:b w:val="false"/>
          <w:color w:val="000000"/>
          <w:sz w:val="20"/>
        </w:rPr>
        <w:t xml:space="preserve">Form 20-F </w:t>
      </w:r>
      <w:r>
        <w:rPr>
          <w:color w:val="000000"/>
        </w:rPr>
        <w:t>☒            </w:t>
      </w:r>
      <w:r>
        <w:rPr>
          <w:rFonts w:ascii="Times New Roman;serif" w:hAnsi="Times New Roman;serif"/>
          <w:b w:val="false"/>
          <w:color w:val="000000"/>
          <w:sz w:val="20"/>
        </w:rPr>
        <w:t xml:space="preserve">Form 40-F </w:t>
      </w:r>
      <w:r>
        <w:rPr>
          <w:color w:val="000000"/>
        </w:rPr>
        <w:t>☐</w:t>
      </w:r>
    </w:p>
    <w:p>
      <w:pPr>
        <w:pStyle w:val="TextBody"/>
        <w:bidi w:val="0"/>
        <w:spacing w:lineRule="auto" w:line="417"/>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CONTENTS</w:t>
      </w:r>
    </w:p>
    <w:p>
      <w:pPr>
        <w:pStyle w:val="TextBody"/>
        <w:bidi w:val="0"/>
        <w:spacing w:before="0" w:after="0"/>
        <w:jc w:val="both"/>
        <w:rPr/>
      </w:pPr>
      <w:r>
        <w:rPr/>
      </w:r>
    </w:p>
    <w:p>
      <w:pPr>
        <w:pStyle w:val="TextBody"/>
        <w:bidi w:val="0"/>
        <w:spacing w:lineRule="auto" w:line="292" w:before="0" w:after="0"/>
        <w:jc w:val="both"/>
        <w:rPr>
          <w:rFonts w:ascii="Times New Roman;serif" w:hAnsi="Times New Roman;serif"/>
          <w:b/>
          <w:i/>
          <w:color w:val="000000"/>
          <w:sz w:val="20"/>
        </w:rPr>
      </w:pPr>
      <w:r>
        <w:rPr>
          <w:rFonts w:ascii="Times New Roman;serif" w:hAnsi="Times New Roman;serif"/>
          <w:b/>
          <w:i/>
          <w:color w:val="000000"/>
          <w:sz w:val="20"/>
        </w:rPr>
        <w:t>Results of the FYE27 Annual Meeting of Shareholders</w:t>
      </w:r>
    </w:p>
    <w:p>
      <w:pPr>
        <w:pStyle w:val="TextBody"/>
        <w:bidi w:val="0"/>
        <w:spacing w:before="0" w:after="0"/>
        <w:ind w:left="0" w:right="0" w:firstLine="720"/>
        <w:jc w:val="both"/>
        <w:rPr/>
      </w:pPr>
      <w:r>
        <w:rPr/>
      </w:r>
    </w:p>
    <w:p>
      <w:pPr>
        <w:pStyle w:val="TextBody"/>
        <w:bidi w:val="0"/>
        <w:spacing w:lineRule="auto" w:line="292" w:before="0" w:after="0"/>
        <w:ind w:left="0" w:right="0" w:firstLine="720"/>
        <w:jc w:val="both"/>
        <w:rPr/>
      </w:pPr>
      <w:r>
        <w:rPr>
          <w:rFonts w:ascii="Times New Roman;serif" w:hAnsi="Times New Roman;serif"/>
          <w:b w:val="false"/>
          <w:color w:val="000000"/>
          <w:sz w:val="20"/>
        </w:rPr>
        <w:t>As scheduled, Cognyte Software Ltd. (the “</w:t>
      </w:r>
      <w:r>
        <w:rPr>
          <w:rFonts w:ascii="Times New Roman;serif" w:hAnsi="Times New Roman;serif"/>
          <w:b/>
          <w:color w:val="000000"/>
          <w:sz w:val="20"/>
        </w:rPr>
        <w:t>Company</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Cognyte</w:t>
      </w:r>
      <w:r>
        <w:rPr>
          <w:color w:val="000000"/>
        </w:rPr>
        <w:t>”</w:t>
      </w:r>
      <w:r>
        <w:rPr>
          <w:rFonts w:ascii="Times New Roman;serif" w:hAnsi="Times New Roman;serif"/>
          <w:b w:val="false"/>
          <w:color w:val="000000"/>
          <w:sz w:val="20"/>
        </w:rPr>
        <w:t>) held its annual general meeting of shareholders for the fiscal year ending January 31, 2027 (the “</w:t>
      </w:r>
      <w:r>
        <w:rPr>
          <w:rFonts w:ascii="Times New Roman;serif" w:hAnsi="Times New Roman;serif"/>
          <w:b/>
          <w:color w:val="000000"/>
          <w:sz w:val="20"/>
        </w:rPr>
        <w:t>Annual Meeting</w:t>
      </w:r>
      <w:r>
        <w:rPr>
          <w:color w:val="000000"/>
        </w:rPr>
        <w:t>”</w:t>
      </w:r>
      <w:r>
        <w:rPr>
          <w:rFonts w:ascii="Times New Roman;serif" w:hAnsi="Times New Roman;serif"/>
          <w:b w:val="false"/>
          <w:color w:val="000000"/>
          <w:sz w:val="20"/>
        </w:rPr>
        <w:t>) at 5:30 p.m., Israel time, on September 3, 2026, located at Cognyte’s offices at 33 Maskit, Herzliya Pituach, 4673333, Israel. At the Annual Meeting, the Company’s shareholders voted on two proposals, which are listed below and described in more detail in the Company’s notice and proxy statement for the Annual Meeting, which were attached as Exhibit 99.1 to the Report of Foreign Private Issuer on Form 6-K that the Company furnished to the Securities and Exchange Commission (the “</w:t>
      </w:r>
      <w:r>
        <w:rPr>
          <w:rFonts w:ascii="Times New Roman;serif" w:hAnsi="Times New Roman;serif"/>
          <w:b/>
          <w:color w:val="000000"/>
          <w:sz w:val="20"/>
        </w:rPr>
        <w:t>SEC</w:t>
      </w:r>
      <w:r>
        <w:rPr>
          <w:color w:val="000000"/>
        </w:rPr>
        <w:t>”</w:t>
      </w:r>
      <w:r>
        <w:rPr>
          <w:rFonts w:ascii="Times New Roman;serif" w:hAnsi="Times New Roman;serif"/>
          <w:b w:val="false"/>
          <w:color w:val="000000"/>
          <w:sz w:val="20"/>
        </w:rPr>
        <w:t>) on July 29, 2026 ( the “</w:t>
      </w:r>
      <w:r>
        <w:rPr>
          <w:rFonts w:ascii="Times New Roman;serif" w:hAnsi="Times New Roman;serif"/>
          <w:b/>
          <w:color w:val="000000"/>
          <w:sz w:val="20"/>
        </w:rPr>
        <w:t>Proxy Statement</w:t>
      </w:r>
      <w:r>
        <w:rPr>
          <w:color w:val="000000"/>
        </w:rPr>
        <w:t>”</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92" w:before="0" w:after="0"/>
        <w:ind w:left="0" w:right="0" w:firstLine="720"/>
        <w:jc w:val="both"/>
        <w:rPr/>
      </w:pPr>
      <w:r>
        <w:rPr>
          <w:rFonts w:ascii="Times New Roman;serif" w:hAnsi="Times New Roman;serif"/>
          <w:b w:val="false"/>
          <w:color w:val="000000"/>
          <w:sz w:val="20"/>
        </w:rPr>
        <w:t>Based on the presence, in person or by proxy, at the Annual Meeting of 46,705,281 ordinary shares, of no par value, of the Company (“</w:t>
      </w:r>
      <w:r>
        <w:rPr>
          <w:rFonts w:ascii="Times New Roman;serif" w:hAnsi="Times New Roman;serif"/>
          <w:b/>
          <w:color w:val="000000"/>
          <w:sz w:val="20"/>
        </w:rPr>
        <w:t>Ordinary Shares</w:t>
      </w:r>
      <w:r>
        <w:rPr>
          <w:color w:val="000000"/>
        </w:rPr>
        <w:t>”</w:t>
      </w:r>
      <w:r>
        <w:rPr>
          <w:rFonts w:ascii="Times New Roman;serif" w:hAnsi="Times New Roman;serif"/>
          <w:b w:val="false"/>
          <w:color w:val="000000"/>
          <w:sz w:val="20"/>
        </w:rPr>
        <w:t>), representing 63.24% of the Company’s 73,845,238 outstanding Ordinary Shares, as of August 3, 2026 (the record date for the Annual Meeting), constituting more than the minimum percentage of outstanding shares required for a quorum under the Company’s Articles of Association (the “</w:t>
      </w:r>
      <w:r>
        <w:rPr>
          <w:rFonts w:ascii="Times New Roman;serif" w:hAnsi="Times New Roman;serif"/>
          <w:b/>
          <w:color w:val="000000"/>
          <w:sz w:val="20"/>
        </w:rPr>
        <w:t>Articles</w:t>
      </w:r>
      <w:r>
        <w:rPr>
          <w:color w:val="000000"/>
        </w:rPr>
        <w:t>”</w:t>
      </w:r>
      <w:r>
        <w:rPr>
          <w:rFonts w:ascii="Times New Roman;serif" w:hAnsi="Times New Roman;serif"/>
          <w:b w:val="false"/>
          <w:color w:val="000000"/>
          <w:sz w:val="20"/>
        </w:rPr>
        <w:t xml:space="preserve">), proposals 1 and 2 detailed in the Proxy Statement (and, as applicable, sub-proposals thereof) were approved by the requisite vote of the Company’s shareholders. </w:t>
      </w:r>
    </w:p>
    <w:p>
      <w:pPr>
        <w:pStyle w:val="TextBody"/>
        <w:bidi w:val="0"/>
        <w:spacing w:before="0" w:after="0"/>
        <w:ind w:left="0" w:right="0" w:firstLine="720"/>
        <w:jc w:val="both"/>
        <w:rPr/>
      </w:pPr>
      <w:r>
        <w:rPr/>
      </w:r>
    </w:p>
    <w:p>
      <w:pPr>
        <w:pStyle w:val="TextBody"/>
        <w:bidi w:val="0"/>
        <w:spacing w:lineRule="auto" w:line="29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of the Company recommended that shareholders vote “FOR” proposals 1 and 2. Below are the detailed tallies of votes with respect to each proposal included in the Proxy Statement. </w:t>
      </w:r>
    </w:p>
    <w:p>
      <w:pPr>
        <w:pStyle w:val="TextBody"/>
        <w:bidi w:val="0"/>
        <w:spacing w:before="0" w:after="0"/>
        <w:ind w:left="0" w:right="0" w:firstLine="720"/>
        <w:jc w:val="both"/>
        <w:rPr/>
      </w:pPr>
      <w:r>
        <w:rPr/>
      </w:r>
    </w:p>
    <w:p>
      <w:pPr>
        <w:pStyle w:val="TextBody"/>
        <w:bidi w:val="0"/>
        <w:spacing w:lineRule="auto" w:line="292" w:before="0" w:after="0"/>
        <w:jc w:val="both"/>
        <w:rPr/>
      </w:pPr>
      <w:r>
        <w:rPr>
          <w:rFonts w:ascii="Times New Roman;serif" w:hAnsi="Times New Roman;serif"/>
          <w:b/>
          <w:color w:val="000000"/>
          <w:sz w:val="20"/>
          <w:u w:val="single"/>
        </w:rPr>
        <w:t>Proposal 1</w:t>
      </w:r>
      <w:r>
        <w:rPr>
          <w:rFonts w:ascii="Times New Roman;serif" w:hAnsi="Times New Roman;serif"/>
          <w:b w:val="false"/>
          <w:color w:val="000000"/>
          <w:sz w:val="20"/>
        </w:rPr>
        <w:t>: To re-elect each of Dafna Sharir, Avi Cohen and Matthew O’Neill as Class II directors, to hold office until the close of the Company’s annual general meeting of shareholders to be held during the fiscal year ending January 31, 2030, and to serve until their respective successors have been duly elected and qualified, or until their respective offices are vacated in accordance with the Company’s Articles of Association or the Companies Law, 5759-1999 (the “</w:t>
      </w:r>
      <w:r>
        <w:rPr>
          <w:rFonts w:ascii="Times New Roman;serif" w:hAnsi="Times New Roman;serif"/>
          <w:b/>
          <w:color w:val="000000"/>
          <w:sz w:val="20"/>
        </w:rPr>
        <w:t>Companies Law</w:t>
      </w:r>
      <w:r>
        <w:rPr>
          <w:color w:val="000000"/>
        </w:rPr>
        <w:t>”</w:t>
      </w:r>
      <w:r>
        <w:rPr>
          <w:rFonts w:ascii="Times New Roman;serif" w:hAnsi="Times New Roman;serif"/>
          <w:b w:val="false"/>
          <w:color w:val="000000"/>
          <w:sz w:val="20"/>
        </w:rPr>
        <w:t>).</w:t>
      </w:r>
    </w:p>
    <w:tbl>
      <w:tblPr>
        <w:tblW w:w="128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5"/>
        <w:gridCol w:w="115"/>
        <w:gridCol w:w="115"/>
        <w:gridCol w:w="115"/>
        <w:gridCol w:w="115"/>
        <w:gridCol w:w="115"/>
        <w:gridCol w:w="115"/>
        <w:gridCol w:w="115"/>
        <w:gridCol w:w="11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27"/>
        <w:gridCol w:w="327"/>
        <w:gridCol w:w="327"/>
        <w:gridCol w:w="327"/>
        <w:gridCol w:w="327"/>
        <w:gridCol w:w="327"/>
        <w:gridCol w:w="327"/>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Nominee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18"/>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Votes in Favor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Votes Against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Abstentions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Dafna Sharir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43,959,357</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2,713,806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32,118</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 Cohen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43,275,530</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3,395,743</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34,008</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O’Neill</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43,741,669</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2,932,624</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30,988</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92" w:before="0" w:after="0"/>
        <w:jc w:val="both"/>
        <w:rPr/>
      </w:pPr>
      <w:r>
        <w:rPr>
          <w:rFonts w:ascii="Times New Roman;serif" w:hAnsi="Times New Roman;serif"/>
          <w:b/>
          <w:color w:val="000000"/>
          <w:sz w:val="20"/>
        </w:rPr>
        <w:t>Consequently, and in accordance with the terms of the Articles, Dafna Sharir, Avi Cohen and Matthew O’Neill</w:t>
      </w:r>
      <w:r>
        <w:rPr>
          <w:color w:val="000000"/>
        </w:rPr>
        <w:t xml:space="preserve"> </w:t>
      </w:r>
      <w:r>
        <w:rPr>
          <w:rFonts w:ascii="Times New Roman;serif" w:hAnsi="Times New Roman;serif"/>
          <w:b/>
          <w:color w:val="000000"/>
          <w:sz w:val="20"/>
        </w:rPr>
        <w:t xml:space="preserve">have been elected at the Annual Meeting as Class II directors in accordance with Proposal 1, as detailed in the Proxy Statement. </w:t>
      </w:r>
    </w:p>
    <w:p>
      <w:pPr>
        <w:pStyle w:val="TextBody"/>
        <w:bidi w:val="0"/>
        <w:spacing w:before="0" w:after="0"/>
        <w:jc w:val="both"/>
        <w:rPr/>
      </w:pPr>
      <w:r>
        <w:rPr/>
      </w:r>
    </w:p>
    <w:p>
      <w:pPr>
        <w:pStyle w:val="TextBody"/>
        <w:bidi w:val="0"/>
        <w:spacing w:lineRule="auto" w:line="292" w:before="0" w:after="0"/>
        <w:jc w:val="both"/>
        <w:rPr/>
      </w:pPr>
      <w:r>
        <w:rPr>
          <w:rFonts w:ascii="Times New Roman;serif" w:hAnsi="Times New Roman;serif"/>
          <w:b/>
          <w:color w:val="000000"/>
          <w:sz w:val="20"/>
          <w:u w:val="single"/>
        </w:rPr>
        <w:t>Proposal 2</w:t>
      </w:r>
      <w:r>
        <w:rPr>
          <w:rFonts w:ascii="Times New Roman;serif" w:hAnsi="Times New Roman;serif"/>
          <w:b w:val="false"/>
          <w:color w:val="000000"/>
          <w:sz w:val="20"/>
        </w:rPr>
        <w:t>: To approve the appointment of Kesselman &amp; Kesselman, a member firm of PricewaterhouseCoopers International Limited, as the Company’s independent auditors for the fiscal year ending January 31, 2027, and until the next annual general meeting of shareholders, and to authorize the Company’s board of directors (with power of delegation to its audit committee) to set the fees to be paid to such auditors.</w:t>
      </w:r>
    </w:p>
    <w:tbl>
      <w:tblPr>
        <w:tblW w:w="147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in Favor</w:t>
            </w:r>
          </w:p>
        </w:tc>
        <w:tc>
          <w:tcPr>
            <w:tcW w:w="1962" w:type="dxa"/>
            <w:gridSpan w:val="18"/>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981" w:type="dxa"/>
            <w:gridSpan w:val="9"/>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36"/>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46,593,687</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13,836</w:t>
            </w:r>
          </w:p>
        </w:tc>
        <w:tc>
          <w:tcPr>
            <w:tcW w:w="981"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97,758</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0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2" w:before="0" w:after="0"/>
        <w:ind w:left="0" w:right="0" w:firstLine="709"/>
        <w:jc w:val="left"/>
        <w:rPr>
          <w:rFonts w:ascii="Times New Roman;serif" w:hAnsi="Times New Roman;serif"/>
          <w:b w:val="false"/>
          <w:color w:val="000000"/>
          <w:sz w:val="20"/>
        </w:rPr>
      </w:pPr>
      <w:r>
        <w:rPr>
          <w:rFonts w:ascii="Times New Roman;serif" w:hAnsi="Times New Roman;serif"/>
          <w:b w:val="false"/>
          <w:color w:val="000000"/>
          <w:sz w:val="20"/>
        </w:rPr>
        <w:t>The contents of this Form 6-K are hereby incorporated by reference into the Company’s Registration Statements on Form S-8 (File Nos. 333-252565, 333-278837, 333-286330 and 333-294612).</w:t>
      </w:r>
    </w:p>
    <w:p>
      <w:pPr>
        <w:pStyle w:val="TextBody"/>
        <w:bidi w:val="0"/>
        <w:spacing w:lineRule="auto" w:line="288" w:before="0" w:after="0"/>
        <w:ind w:left="0" w:right="0" w:firstLine="709"/>
        <w:jc w:val="both"/>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09"/>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09"/>
        <w:jc w:val="both"/>
        <w:rPr>
          <w:color w:val="000000"/>
        </w:rPr>
      </w:pPr>
      <w:r>
        <w:rPr>
          <w:color w:val="000000"/>
        </w:rPr>
        <w:t> </w:t>
      </w:r>
    </w:p>
    <w:tbl>
      <w:tblPr>
        <w:tblW w:w="5085" w:type="dxa"/>
        <w:jc w:val="left"/>
        <w:tblInd w:w="0" w:type="dxa"/>
        <w:tblLayout w:type="fixed"/>
        <w:tblCellMar>
          <w:top w:w="28" w:type="dxa"/>
          <w:left w:w="28" w:type="dxa"/>
          <w:bottom w:w="28" w:type="dxa"/>
          <w:right w:w="28" w:type="dxa"/>
        </w:tblCellMar>
      </w:tblPr>
      <w:tblGrid>
        <w:gridCol w:w="263"/>
        <w:gridCol w:w="231"/>
        <w:gridCol w:w="231"/>
        <w:gridCol w:w="231"/>
        <w:gridCol w:w="231"/>
        <w:gridCol w:w="231"/>
        <w:gridCol w:w="231"/>
        <w:gridCol w:w="231"/>
        <w:gridCol w:w="231"/>
        <w:gridCol w:w="141"/>
        <w:gridCol w:w="141"/>
        <w:gridCol w:w="141"/>
        <w:gridCol w:w="141"/>
        <w:gridCol w:w="141"/>
        <w:gridCol w:w="141"/>
        <w:gridCol w:w="141"/>
        <w:gridCol w:w="141"/>
        <w:gridCol w:w="141"/>
        <w:gridCol w:w="181"/>
        <w:gridCol w:w="181"/>
        <w:gridCol w:w="181"/>
        <w:gridCol w:w="181"/>
        <w:gridCol w:w="181"/>
        <w:gridCol w:w="181"/>
        <w:gridCol w:w="181"/>
        <w:gridCol w:w="181"/>
        <w:gridCol w:w="257"/>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COGNYTE SOFTWARE LTD.</w:t>
            </w:r>
          </w:p>
        </w:tc>
      </w:tr>
      <w:tr>
        <w:trPr/>
        <w:tc>
          <w:tcPr>
            <w:tcW w:w="2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1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05" w:type="dxa"/>
            <w:gridSpan w:val="9"/>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Ilan Rotem</w:t>
            </w:r>
          </w:p>
        </w:tc>
      </w:tr>
      <w:tr>
        <w:trPr/>
        <w:tc>
          <w:tcPr>
            <w:tcW w:w="2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1705"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Ilan Rotem</w:t>
            </w:r>
          </w:p>
        </w:tc>
      </w:tr>
      <w:tr>
        <w:trPr/>
        <w:tc>
          <w:tcPr>
            <w:tcW w:w="2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7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630</Words>
  <Characters>3484</Characters>
  <CharactersWithSpaces>4079</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