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5845423.xml.htm"/>
      <w:bookmarkStart w:id="1" w:name="kswkform3_178584542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Philpott Adam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COGNYTE SOFTWARE LTD.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 MASKIT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HERZLIYA</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4673333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Cognyte Software Ltd.</w:t>
              </w:r>
            </w:hyperlink>
            <w:r>
              <w:rPr/>
              <w:t xml:space="preserve"> [ </w:t>
            </w:r>
            <w:r>
              <w:rPr>
                <w:rFonts w:ascii="Times;serif" w:hAnsi="Times;serif"/>
                <w:color w:val="0000FF"/>
                <w:sz w:val="24"/>
                <w:shd w:fill="FFFFFF" w:val="clear"/>
              </w:rPr>
              <w:t>CGNT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Revenue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89,485</w:t>
            </w:r>
            <w:r>
              <w:rPr>
                <w:rFonts w:ascii="Times;serif" w:hAnsi="Times;serif"/>
                <w:color w:val="008000"/>
                <w:position w:val="7"/>
                <w:sz w:val="16"/>
                <w:sz w:val="20"/>
                <w:shd w:fill="FFFFFF" w:val="clear"/>
              </w:rPr>
              <w:t>(1)</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89,485 Ordinary Shares represented by restricted share units ("RSUs") granted on July 20, 2026, which vest in six equal semi-annual installments beginning six months after the grant date over a three-year period, as follows: 14,914 shares on January 20, 2027; 14,914 shares on July 20, 2027; 14,914 shares on January 20, 2028; 14,914 shares on July 20, 2028; 14,914 shares on January 20, 2029; and 14,915 shares on July 20,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Ex-24 POA</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Liam Eckstein,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LIMITED POWER OF ATTORNEY</w:t>
      </w:r>
    </w:p>
    <w:p>
      <w:pPr>
        <w:pStyle w:val="TextBody"/>
        <w:bidi w:val="0"/>
        <w:spacing w:lineRule="auto" w:line="288" w:before="0" w:after="240"/>
        <w:ind w:left="0" w:right="0" w:firstLine="720"/>
        <w:jc w:val="both"/>
        <w:rPr/>
      </w:pPr>
      <w:r>
        <w:rPr>
          <w:rFonts w:ascii="Times New Roman;serif" w:hAnsi="Times New Roman;serif"/>
          <w:b w:val="false"/>
          <w:color w:val="000000"/>
          <w:sz w:val="22"/>
        </w:rPr>
        <w:t>Know all by these present, that the undersigned hereby constitutes and appoints each of Ilan Rotem, Liam Eckstein, Dima Itkin and Tirtza Madaani (each, an “</w:t>
      </w:r>
      <w:r>
        <w:rPr>
          <w:rFonts w:ascii="Times New Roman;serif" w:hAnsi="Times New Roman;serif"/>
          <w:b/>
          <w:color w:val="000000"/>
          <w:sz w:val="22"/>
        </w:rPr>
        <w:t>Attorney-in-fact</w:t>
      </w:r>
      <w:r>
        <w:rPr>
          <w:color w:val="000000"/>
        </w:rPr>
        <w:t xml:space="preserve">” </w:t>
      </w:r>
      <w:r>
        <w:rPr>
          <w:rFonts w:ascii="Times New Roman;serif" w:hAnsi="Times New Roman;serif"/>
          <w:b w:val="false"/>
          <w:color w:val="000000"/>
          <w:sz w:val="22"/>
        </w:rPr>
        <w:t>or together, the “</w:t>
      </w:r>
      <w:r>
        <w:rPr>
          <w:rFonts w:ascii="Times New Roman;serif" w:hAnsi="Times New Roman;serif"/>
          <w:b/>
          <w:color w:val="000000"/>
          <w:sz w:val="22"/>
        </w:rPr>
        <w:t>Attorneys-in-fact</w:t>
      </w:r>
      <w:r>
        <w:rPr>
          <w:color w:val="000000"/>
        </w:rPr>
        <w:t>”</w:t>
      </w:r>
      <w:r>
        <w:rPr>
          <w:rFonts w:ascii="Times New Roman;serif" w:hAnsi="Times New Roman;serif"/>
          <w:b w:val="false"/>
          <w:color w:val="000000"/>
          <w:sz w:val="22"/>
        </w:rPr>
        <w:t>) of Cognyte Software Ltd.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or any of them acting singly and with full power of substitution, as the undersigned’s true and lawful attorney-in-fact to:</w:t>
      </w:r>
    </w:p>
    <w:p>
      <w:pPr>
        <w:pStyle w:val="TextBody"/>
        <w:bidi w:val="0"/>
        <w:spacing w:lineRule="auto" w:line="240" w:before="0" w:after="24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rPr>
        <w:t>prepare, submit, execute for, and on behalf of the undersigned, in the undersigned’s capacity as an officer and/or director of the Company any Forms 3, 4 and 5 (and any amendments thereto) in accordance with Section 16(a) of the U.S. Securities Exchange Act of 1934, as amended (the “</w:t>
      </w:r>
      <w:r>
        <w:rPr>
          <w:rFonts w:ascii="Times New Roman;serif" w:hAnsi="Times New Roman;serif"/>
          <w:b/>
          <w:color w:val="000000"/>
          <w:sz w:val="22"/>
        </w:rPr>
        <w:t>Exchange Act</w:t>
      </w:r>
      <w:r>
        <w:rPr>
          <w:color w:val="000000"/>
        </w:rPr>
        <w:t>”</w:t>
      </w:r>
      <w:r>
        <w:rPr>
          <w:rFonts w:ascii="Times New Roman;serif" w:hAnsi="Times New Roman;serif"/>
          <w:b w:val="false"/>
          <w:color w:val="000000"/>
          <w:sz w:val="22"/>
        </w:rPr>
        <w:t>) and the rules promulgated thereunder or Forms 144 in accordance with Rule 144 (“</w:t>
      </w:r>
      <w:r>
        <w:rPr>
          <w:rFonts w:ascii="Times New Roman;serif" w:hAnsi="Times New Roman;serif"/>
          <w:b/>
          <w:color w:val="000000"/>
          <w:sz w:val="22"/>
        </w:rPr>
        <w:t>Rule 144</w:t>
      </w:r>
      <w:r>
        <w:rPr>
          <w:color w:val="000000"/>
        </w:rPr>
        <w:t>”</w:t>
      </w:r>
      <w:r>
        <w:rPr>
          <w:rFonts w:ascii="Times New Roman;serif" w:hAnsi="Times New Roman;serif"/>
          <w:b w:val="false"/>
          <w:color w:val="000000"/>
          <w:sz w:val="22"/>
        </w:rPr>
        <w:t>) under the U.S. Securities Act of 1933, as amended (the “</w:t>
      </w:r>
      <w:r>
        <w:rPr>
          <w:rFonts w:ascii="Times New Roman;serif" w:hAnsi="Times New Roman;serif"/>
          <w:b/>
          <w:color w:val="000000"/>
          <w:sz w:val="22"/>
        </w:rPr>
        <w:t>Securities Act</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rPr>
        <w:t>do and perform any and all acts for and on behalf of the undersigned which may be necessary or desirable to complete and execute any such Form 3, 4, 5 and 144, complete and execute any amendment or amendments thereto and timely file such forms or amendments with the U.S. Securities and Exchange Commission and any stock exchange or similar authority, as required;</w:t>
      </w:r>
    </w:p>
    <w:p>
      <w:pPr>
        <w:pStyle w:val="TextBody"/>
        <w:bidi w:val="0"/>
        <w:spacing w:lineRule="auto" w:line="240" w:before="0" w:after="24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rPr>
        <w:t>seek or obtain, as the undersigned’s representative and on the undersigned’s behalf, information on transactions in the Company’s securities from any broker or financial institution, and the undersigned hereby authorizes any such person to release any such information to each of the Attorneys-in-fact and approves and ratifies any such release of information;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such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each Attorney-in-fact, in serving in such capacities at the request of the undersigned, is not assuming any of the undersigned’s responsibilities to comply with Section 16 of the Exchange Act or Rule 144 under the Securities Act.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This Power of Attorney, with respect to each of the Attorneys-in-fact, shall remain in full force and effect until the earliest to occur of (a) the date that the undersigned is no longer required to file Forms 3, 4, 5 and 144 with respect to the undersigned’s holdings of and transactions in securities issued by the Company, (b) with respect to the Attorney-in-fact, this Power of Attorney is revoked by the undersigned in a signed writing delivered to such Attorney-in-fact, or (c) the time at which such Attorney-in-fact is no longer employed by the Company or any of its subsidiaries, as applicable.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undersigned has executed this Limited Power of Attorney as of this 21 day of July 2026.</w:t>
      </w:r>
    </w:p>
    <w:p>
      <w:pPr>
        <w:pStyle w:val="TextBody"/>
        <w:bidi w:val="0"/>
        <w:spacing w:lineRule="auto" w:line="288" w:before="0" w:after="240"/>
        <w:jc w:val="left"/>
        <w:rPr/>
      </w:pPr>
      <w:r>
        <w:rPr>
          <w:rFonts w:ascii="Times New Roman;serif" w:hAnsi="Times New Roman;serif"/>
          <w:b w:val="false"/>
          <w:color w:val="000000"/>
          <w:sz w:val="22"/>
          <w:u w:val="single"/>
        </w:rPr>
        <w:t>/s/ Adam Richard Philpott                                                 </w:t>
      </w:r>
      <w:r>
        <w:rPr>
          <w:rFonts w:ascii="Times New Roman;serif" w:hAnsi="Times New Roman;serif"/>
          <w:b w:val="false"/>
          <w:color w:val="000000"/>
          <w:sz w:val="22"/>
        </w:rPr>
        <w:br/>
      </w:r>
      <w:r>
        <w:rPr>
          <w:rFonts w:ascii="Times New Roman;serif" w:hAnsi="Times New Roman;serif"/>
          <w:b/>
          <w:color w:val="000000"/>
          <w:sz w:val="22"/>
        </w:rPr>
        <w:t>Adam Richard Philpott</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594995"/>
                <wp:effectExtent l="0" t="0" r="0" b="0"/>
                <wp:wrapNone/>
                <wp:docPr id="3" name="Frame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8384" TargetMode="External"/><Relationship Id="rId3" Type="http://schemas.openxmlformats.org/officeDocument/2006/relationships/hyperlink" Target="http://www.sec.gov/cgi-bin/browse-edgar?action=getcompany&amp;CIK=000182481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1072</Words>
  <Characters>5746</Characters>
  <CharactersWithSpaces>6808</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